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657" w:rsidRDefault="00DC513E">
      <w:pPr>
        <w:rPr>
          <w:b/>
          <w:bCs/>
        </w:rPr>
      </w:pPr>
      <w:r w:rsidRPr="00DC513E">
        <w:rPr>
          <w:b/>
          <w:bCs/>
        </w:rPr>
        <w:t xml:space="preserve">Topic 3 DQ 2 Responses </w:t>
      </w:r>
    </w:p>
    <w:p w:rsidR="00DC513E" w:rsidRDefault="00DC513E" w:rsidP="00DC513E">
      <w:pPr>
        <w:rPr>
          <w:b/>
          <w:bCs/>
        </w:rPr>
      </w:pPr>
    </w:p>
    <w:p w:rsidR="00DC513E" w:rsidRDefault="00DC513E" w:rsidP="00DC513E">
      <w:pPr>
        <w:rPr>
          <w:b/>
          <w:bCs/>
        </w:rPr>
      </w:pPr>
      <w:r>
        <w:rPr>
          <w:b/>
          <w:bCs/>
        </w:rPr>
        <w:t>Alexander’s Discussion</w:t>
      </w:r>
    </w:p>
    <w:p w:rsidR="00DC513E" w:rsidRPr="00DC513E" w:rsidRDefault="00DC513E" w:rsidP="00DC513E">
      <w:pPr>
        <w:rPr>
          <w:b/>
          <w:bCs/>
        </w:rPr>
      </w:pPr>
      <w:r>
        <w:rPr>
          <w:rFonts w:ascii="Open Sans" w:hAnsi="Open Sans" w:cs="Open Sans"/>
          <w:color w:val="212121"/>
          <w:spacing w:val="2"/>
          <w:sz w:val="21"/>
          <w:szCs w:val="21"/>
        </w:rPr>
        <w:t>The Institutional Review Board, or IRB, plays an important role in making sure research involving people is conducted safely and ethically. Before a study can begin, the IRB reviews the research plan, the possible risks and benefits, how participants will be recruited, and how informed consent will be obtained. The board also looks at how researchers plan to protect participants’ privacy and personal information. If the study involves a vulnerable population, such as critically ill patients, additional protections may be required. The IRB can approve a study, request changes, or deny approval if the risks are too high or the protections are not strong enough. Overall, the purpose of the IRB is to make sure participants are treated fairly and are not exposed to unnecessary harm (Office for Human Research Protections [OHRP], 2021).</w:t>
      </w:r>
    </w:p>
    <w:p w:rsidR="00DC513E" w:rsidRDefault="00DC513E" w:rsidP="00DC513E">
      <w:pPr>
        <w:pStyle w:val="NormalWeb"/>
        <w:shd w:val="clear" w:color="auto" w:fill="FFFFFF"/>
        <w:spacing w:line="360" w:lineRule="atLeast"/>
        <w:rPr>
          <w:rFonts w:ascii="Open Sans" w:hAnsi="Open Sans" w:cs="Open Sans"/>
          <w:color w:val="212121"/>
          <w:spacing w:val="2"/>
          <w:sz w:val="21"/>
          <w:szCs w:val="21"/>
        </w:rPr>
      </w:pPr>
      <w:r>
        <w:rPr>
          <w:rFonts w:ascii="Open Sans" w:hAnsi="Open Sans" w:cs="Open Sans"/>
          <w:color w:val="212121"/>
          <w:spacing w:val="2"/>
          <w:sz w:val="21"/>
          <w:szCs w:val="21"/>
        </w:rPr>
        <w:t>One example is a study by the TEAM Study Investigators and the ANZICS Clinical Trials Group (2022), which examined early mobilization in mechanically ventilated ICU patients. The study included 750 adult patients and compared a higher level of early activity with usual mobility care. This is an important nursing issue because ICU nurses are closely involved in assessing whether patients are stable enough to move, helping with mobility, and monitoring for complications.</w:t>
      </w:r>
    </w:p>
    <w:p w:rsidR="00DC513E" w:rsidRDefault="00DC513E" w:rsidP="00DC513E">
      <w:pPr>
        <w:pStyle w:val="NormalWeb"/>
        <w:shd w:val="clear" w:color="auto" w:fill="FFFFFF"/>
        <w:spacing w:line="360" w:lineRule="atLeast"/>
        <w:rPr>
          <w:rFonts w:ascii="Open Sans" w:hAnsi="Open Sans" w:cs="Open Sans"/>
          <w:color w:val="212121"/>
          <w:spacing w:val="2"/>
          <w:sz w:val="21"/>
          <w:szCs w:val="21"/>
        </w:rPr>
      </w:pPr>
      <w:r>
        <w:rPr>
          <w:rFonts w:ascii="Open Sans" w:hAnsi="Open Sans" w:cs="Open Sans"/>
          <w:color w:val="212121"/>
          <w:spacing w:val="2"/>
          <w:sz w:val="21"/>
          <w:szCs w:val="21"/>
        </w:rPr>
        <w:t>There were several ethical concerns in this study. Many mechanically ventilated patients are sedated or too ill to make their own decisions, so consent had to be obtained from a legally authorized representative when needed. Researchers also monitored patients closely for changes in oxygen levels, blood pressure, heart rhythm, and other signs that the activity should be stopped. Participants’ information had to remain confidential, and their care could not be affected if they withdrew from the study. These steps helped protect autonomy, reduce harm, and ensure that patients were treated fairly throughout the research process.</w:t>
      </w:r>
    </w:p>
    <w:p w:rsidR="00DC513E" w:rsidRPr="00DC513E" w:rsidRDefault="00DC513E" w:rsidP="00DC513E">
      <w:pPr>
        <w:pStyle w:val="NormalWeb"/>
        <w:shd w:val="clear" w:color="auto" w:fill="FFFFFF"/>
        <w:spacing w:before="0" w:after="0" w:line="360" w:lineRule="atLeast"/>
        <w:rPr>
          <w:rFonts w:ascii="Open Sans" w:hAnsi="Open Sans" w:cs="Open Sans"/>
          <w:color w:val="212121"/>
          <w:spacing w:val="2"/>
        </w:rPr>
      </w:pPr>
      <w:r w:rsidRPr="00DC513E">
        <w:rPr>
          <w:rStyle w:val="Strong"/>
          <w:rFonts w:ascii="inherit" w:hAnsi="inherit" w:cs="Open Sans"/>
          <w:color w:val="212121"/>
          <w:spacing w:val="2"/>
          <w:bdr w:val="none" w:sz="0" w:space="0" w:color="auto" w:frame="1"/>
        </w:rPr>
        <w:t>References</w:t>
      </w:r>
    </w:p>
    <w:p w:rsidR="00DC513E" w:rsidRDefault="00DC513E" w:rsidP="00DC513E">
      <w:pPr>
        <w:pStyle w:val="NormalWeb"/>
        <w:shd w:val="clear" w:color="auto" w:fill="FFFFFF"/>
        <w:spacing w:before="0" w:after="0" w:line="360" w:lineRule="atLeast"/>
        <w:rPr>
          <w:rFonts w:ascii="Open Sans" w:hAnsi="Open Sans" w:cs="Open Sans"/>
          <w:color w:val="212121"/>
          <w:spacing w:val="2"/>
          <w:sz w:val="21"/>
          <w:szCs w:val="21"/>
        </w:rPr>
      </w:pPr>
      <w:r>
        <w:rPr>
          <w:rFonts w:ascii="Open Sans" w:hAnsi="Open Sans" w:cs="Open Sans"/>
          <w:color w:val="212121"/>
          <w:spacing w:val="2"/>
          <w:sz w:val="21"/>
          <w:szCs w:val="21"/>
        </w:rPr>
        <w:t>Office for Human Research Protections. (2021). </w:t>
      </w:r>
      <w:r>
        <w:rPr>
          <w:rStyle w:val="Emphasis"/>
          <w:rFonts w:ascii="inherit" w:hAnsi="inherit" w:cs="Open Sans"/>
          <w:color w:val="212121"/>
          <w:spacing w:val="2"/>
          <w:sz w:val="21"/>
          <w:szCs w:val="21"/>
          <w:bdr w:val="none" w:sz="0" w:space="0" w:color="auto" w:frame="1"/>
        </w:rPr>
        <w:t>Lesson 3: What are IRBs?</w:t>
      </w:r>
      <w:r>
        <w:rPr>
          <w:rFonts w:ascii="Open Sans" w:hAnsi="Open Sans" w:cs="Open Sans"/>
          <w:color w:val="212121"/>
          <w:spacing w:val="2"/>
          <w:sz w:val="21"/>
          <w:szCs w:val="21"/>
        </w:rPr>
        <w:t> U.S. Department of Health and Human Services. </w:t>
      </w:r>
      <w:hyperlink r:id="rId4" w:tgtFrame="_blank" w:history="1">
        <w:r>
          <w:rPr>
            <w:rStyle w:val="Hyperlink"/>
            <w:rFonts w:ascii="inherit" w:hAnsi="inherit" w:cs="Open Sans"/>
            <w:color w:val="1A65B0"/>
            <w:spacing w:val="2"/>
            <w:sz w:val="21"/>
            <w:szCs w:val="21"/>
            <w:bdr w:val="none" w:sz="0" w:space="0" w:color="auto" w:frame="1"/>
          </w:rPr>
          <w:t>https://www.hhs.gov/ohrp/education-and-outreach/online-education/human-research-protection-training/lesson-3-what-are-irbs/index.html</w:t>
        </w:r>
      </w:hyperlink>
    </w:p>
    <w:p w:rsidR="00DC513E" w:rsidRDefault="00DC513E" w:rsidP="00DC513E">
      <w:pPr>
        <w:pStyle w:val="NormalWeb"/>
        <w:shd w:val="clear" w:color="auto" w:fill="FFFFFF"/>
        <w:spacing w:before="0" w:after="0" w:line="360" w:lineRule="atLeast"/>
        <w:rPr>
          <w:rFonts w:ascii="Open Sans" w:hAnsi="Open Sans" w:cs="Open Sans"/>
          <w:color w:val="212121"/>
          <w:spacing w:val="2"/>
          <w:sz w:val="21"/>
          <w:szCs w:val="21"/>
        </w:rPr>
      </w:pPr>
      <w:r>
        <w:rPr>
          <w:rFonts w:ascii="Open Sans" w:hAnsi="Open Sans" w:cs="Open Sans"/>
          <w:color w:val="212121"/>
          <w:spacing w:val="2"/>
          <w:sz w:val="21"/>
          <w:szCs w:val="21"/>
        </w:rPr>
        <w:t>TEAM Study Investigators and the ANZICS Clinical Trials Group. (2022). Early active mobilization during mechanical ventilation in the ICU. </w:t>
      </w:r>
      <w:r>
        <w:rPr>
          <w:rStyle w:val="Emphasis"/>
          <w:rFonts w:ascii="inherit" w:hAnsi="inherit" w:cs="Open Sans"/>
          <w:color w:val="212121"/>
          <w:spacing w:val="2"/>
          <w:sz w:val="21"/>
          <w:szCs w:val="21"/>
          <w:bdr w:val="none" w:sz="0" w:space="0" w:color="auto" w:frame="1"/>
        </w:rPr>
        <w:t>The New England Journal of Medicine, 387</w:t>
      </w:r>
      <w:r>
        <w:rPr>
          <w:rFonts w:ascii="Open Sans" w:hAnsi="Open Sans" w:cs="Open Sans"/>
          <w:color w:val="212121"/>
          <w:spacing w:val="2"/>
          <w:sz w:val="21"/>
          <w:szCs w:val="21"/>
        </w:rPr>
        <w:t>(19), 1747–1758. </w:t>
      </w:r>
      <w:hyperlink r:id="rId5" w:tgtFrame="_blank" w:history="1">
        <w:r>
          <w:rPr>
            <w:rStyle w:val="Hyperlink"/>
            <w:rFonts w:ascii="inherit" w:hAnsi="inherit" w:cs="Open Sans"/>
            <w:color w:val="1A65B0"/>
            <w:spacing w:val="2"/>
            <w:sz w:val="21"/>
            <w:szCs w:val="21"/>
            <w:bdr w:val="none" w:sz="0" w:space="0" w:color="auto" w:frame="1"/>
          </w:rPr>
          <w:t>https://doi.org/10.1056/NEJMoa2209083</w:t>
        </w:r>
      </w:hyperlink>
    </w:p>
    <w:p w:rsidR="00DC513E" w:rsidRPr="00DC513E" w:rsidRDefault="00DC513E" w:rsidP="00DC513E">
      <w:pPr>
        <w:spacing w:line="360" w:lineRule="atLeast"/>
        <w:textAlignment w:val="baseline"/>
        <w:rPr>
          <w:rFonts w:ascii="Times New Roman" w:eastAsia="Times New Roman" w:hAnsi="Times New Roman" w:cs="Times New Roman"/>
          <w:b/>
          <w:bCs/>
          <w:color w:val="1B1B1B"/>
          <w:spacing w:val="2"/>
          <w:kern w:val="0"/>
          <w:bdr w:val="none" w:sz="0" w:space="0" w:color="auto" w:frame="1"/>
          <w14:ligatures w14:val="none"/>
        </w:rPr>
      </w:pPr>
      <w:r>
        <w:rPr>
          <w:rFonts w:ascii="Times New Roman" w:eastAsia="Times New Roman" w:hAnsi="Times New Roman" w:cs="Times New Roman"/>
          <w:b/>
          <w:bCs/>
          <w:color w:val="1B1B1B"/>
          <w:spacing w:val="2"/>
          <w:kern w:val="0"/>
          <w:bdr w:val="none" w:sz="0" w:space="0" w:color="auto" w:frame="1"/>
          <w14:ligatures w14:val="none"/>
        </w:rPr>
        <w:lastRenderedPageBreak/>
        <w:t>Paige</w:t>
      </w:r>
      <w:r w:rsidRPr="00DC513E">
        <w:rPr>
          <w:rFonts w:ascii="Times New Roman" w:eastAsia="Times New Roman" w:hAnsi="Times New Roman" w:cs="Times New Roman"/>
          <w:b/>
          <w:bCs/>
          <w:color w:val="1B1B1B"/>
          <w:spacing w:val="2"/>
          <w:kern w:val="0"/>
          <w:bdr w:val="none" w:sz="0" w:space="0" w:color="auto" w:frame="1"/>
          <w14:ligatures w14:val="none"/>
        </w:rPr>
        <w:t>’s Discussion</w:t>
      </w:r>
    </w:p>
    <w:p w:rsidR="00DC513E" w:rsidRDefault="00DC513E" w:rsidP="00DC513E">
      <w:pPr>
        <w:pStyle w:val="NormalWeb"/>
        <w:shd w:val="clear" w:color="auto" w:fill="FFFFFF"/>
        <w:spacing w:before="0" w:after="0" w:line="360" w:lineRule="atLeast"/>
        <w:rPr>
          <w:rFonts w:ascii="Open Sans" w:hAnsi="Open Sans" w:cs="Open Sans"/>
          <w:color w:val="212121"/>
          <w:spacing w:val="2"/>
          <w:sz w:val="21"/>
          <w:szCs w:val="21"/>
        </w:rPr>
      </w:pPr>
      <w:r>
        <w:rPr>
          <w:rFonts w:ascii="Open Sans" w:hAnsi="Open Sans" w:cs="Open Sans"/>
          <w:color w:val="212121"/>
          <w:spacing w:val="2"/>
          <w:sz w:val="21"/>
          <w:szCs w:val="21"/>
          <w:bdr w:val="none" w:sz="0" w:space="0" w:color="auto" w:frame="1"/>
        </w:rPr>
        <w:t>An Institutional Review Board (IRB) is an independent committee that reviews and oversees research involving human participants to ensure that risks are minimized and reasonable in relation to potential benefits, that participant selection is equitable, and that informed consent, privacy, and data</w:t>
      </w:r>
      <w:r>
        <w:rPr>
          <w:rFonts w:ascii="Open Sans" w:hAnsi="Open Sans" w:cs="Open Sans"/>
          <w:color w:val="212121"/>
          <w:spacing w:val="2"/>
          <w:sz w:val="21"/>
          <w:szCs w:val="21"/>
          <w:bdr w:val="none" w:sz="0" w:space="0" w:color="auto" w:frame="1"/>
        </w:rPr>
        <w:noBreakHyphen/>
        <w:t>security protections are adequate; the IRB can approve, require modifications to, suspend, or disapprove research and provides continuing oversight including adverse</w:t>
      </w:r>
      <w:r>
        <w:rPr>
          <w:rFonts w:ascii="Open Sans" w:hAnsi="Open Sans" w:cs="Open Sans"/>
          <w:color w:val="212121"/>
          <w:spacing w:val="2"/>
          <w:sz w:val="21"/>
          <w:szCs w:val="21"/>
          <w:bdr w:val="none" w:sz="0" w:space="0" w:color="auto" w:frame="1"/>
        </w:rPr>
        <w:noBreakHyphen/>
        <w:t>event reporting and monitoring of protocol adherence (Centers for Disease Control and Prevention, 2024). For example, contemporary nursing research on fall prevention in older adults, an area directly relevant to nursing practice, relies on IRB review because interventions such as supervised exercise, medication review, and home</w:t>
      </w:r>
      <w:r>
        <w:rPr>
          <w:rFonts w:ascii="Open Sans" w:hAnsi="Open Sans" w:cs="Open Sans"/>
          <w:color w:val="212121"/>
          <w:spacing w:val="2"/>
          <w:sz w:val="21"/>
          <w:szCs w:val="21"/>
          <w:bdr w:val="none" w:sz="0" w:space="0" w:color="auto" w:frame="1"/>
        </w:rPr>
        <w:noBreakHyphen/>
        <w:t>safety assessments involve direct contact with vulnerable participants and measurable clinical outcomes; recent systematic evidence syntheses show multifactorial and exercise interventions reduce falls, which underscores the need for ethically designed trials with safety monitoring, clear inclusion/exclusion criteria, and robust consent processes (</w:t>
      </w:r>
      <w:proofErr w:type="spellStart"/>
      <w:r>
        <w:rPr>
          <w:rFonts w:ascii="Open Sans" w:hAnsi="Open Sans" w:cs="Open Sans"/>
          <w:color w:val="212121"/>
          <w:spacing w:val="2"/>
          <w:sz w:val="21"/>
          <w:szCs w:val="21"/>
          <w:bdr w:val="none" w:sz="0" w:space="0" w:color="auto" w:frame="1"/>
        </w:rPr>
        <w:t>Guirguis</w:t>
      </w:r>
      <w:proofErr w:type="spellEnd"/>
      <w:r>
        <w:rPr>
          <w:rFonts w:ascii="Open Sans" w:hAnsi="Open Sans" w:cs="Open Sans"/>
          <w:color w:val="212121"/>
          <w:spacing w:val="2"/>
          <w:sz w:val="21"/>
          <w:szCs w:val="21"/>
          <w:bdr w:val="none" w:sz="0" w:space="0" w:color="auto" w:frame="1"/>
        </w:rPr>
        <w:noBreakHyphen/>
        <w:t>Blake et al., 2024). Ethical considerations that IRBs and researchers routinely evaluate in nursing studies include obtaining voluntary, comprehensible informed consent (with accommodations for limited literacy or cognitive impairment), minimizing physical risks through safety protocols (for example, supervised exercise and emergency procedures), protecting confidentiality via secure data handling and de</w:t>
      </w:r>
      <w:r>
        <w:rPr>
          <w:rFonts w:ascii="Open Sans" w:hAnsi="Open Sans" w:cs="Open Sans"/>
          <w:color w:val="212121"/>
          <w:spacing w:val="2"/>
          <w:sz w:val="21"/>
          <w:szCs w:val="21"/>
          <w:bdr w:val="none" w:sz="0" w:space="0" w:color="auto" w:frame="1"/>
        </w:rPr>
        <w:noBreakHyphen/>
        <w:t>identification, ensuring equitable recruitment so benefits and burdens are fairly distributed, and establishing plans for ongoing monitoring, adverse</w:t>
      </w:r>
      <w:r>
        <w:rPr>
          <w:rFonts w:ascii="Open Sans" w:hAnsi="Open Sans" w:cs="Open Sans"/>
          <w:color w:val="212121"/>
          <w:spacing w:val="2"/>
          <w:sz w:val="21"/>
          <w:szCs w:val="21"/>
          <w:bdr w:val="none" w:sz="0" w:space="0" w:color="auto" w:frame="1"/>
        </w:rPr>
        <w:noBreakHyphen/>
        <w:t xml:space="preserve">event reporting, and stopping rules if harms emerge—measures that both protect participants and strengthen scientific validity (Centers for Disease Control and Prevention, 2024; </w:t>
      </w:r>
      <w:proofErr w:type="spellStart"/>
      <w:r>
        <w:rPr>
          <w:rFonts w:ascii="Open Sans" w:hAnsi="Open Sans" w:cs="Open Sans"/>
          <w:color w:val="212121"/>
          <w:spacing w:val="2"/>
          <w:sz w:val="21"/>
          <w:szCs w:val="21"/>
          <w:bdr w:val="none" w:sz="0" w:space="0" w:color="auto" w:frame="1"/>
        </w:rPr>
        <w:t>Guirguis</w:t>
      </w:r>
      <w:proofErr w:type="spellEnd"/>
      <w:r>
        <w:rPr>
          <w:rFonts w:ascii="Open Sans" w:hAnsi="Open Sans" w:cs="Open Sans"/>
          <w:color w:val="212121"/>
          <w:spacing w:val="2"/>
          <w:sz w:val="21"/>
          <w:szCs w:val="21"/>
          <w:bdr w:val="none" w:sz="0" w:space="0" w:color="auto" w:frame="1"/>
        </w:rPr>
        <w:noBreakHyphen/>
        <w:t>Blake et al., 2024).</w:t>
      </w:r>
    </w:p>
    <w:p w:rsidR="00DC513E" w:rsidRPr="00DC513E" w:rsidRDefault="00DC513E" w:rsidP="00DC513E">
      <w:pPr>
        <w:pStyle w:val="NormalWeb"/>
        <w:shd w:val="clear" w:color="auto" w:fill="FFFFFF"/>
        <w:spacing w:before="0" w:after="0" w:line="360" w:lineRule="atLeast"/>
        <w:rPr>
          <w:rFonts w:ascii="Open Sans" w:hAnsi="Open Sans" w:cs="Open Sans"/>
          <w:b/>
          <w:bCs/>
          <w:color w:val="212121"/>
          <w:spacing w:val="2"/>
          <w:sz w:val="21"/>
          <w:szCs w:val="21"/>
        </w:rPr>
      </w:pPr>
      <w:r w:rsidRPr="00DC513E">
        <w:rPr>
          <w:rFonts w:ascii="Open Sans" w:hAnsi="Open Sans" w:cs="Open Sans"/>
          <w:b/>
          <w:bCs/>
          <w:color w:val="212121"/>
          <w:spacing w:val="2"/>
          <w:sz w:val="21"/>
          <w:szCs w:val="21"/>
          <w:bdr w:val="none" w:sz="0" w:space="0" w:color="auto" w:frame="1"/>
        </w:rPr>
        <w:t>References:</w:t>
      </w:r>
    </w:p>
    <w:p w:rsidR="00DC513E" w:rsidRDefault="00DC513E" w:rsidP="00DC513E">
      <w:pPr>
        <w:pStyle w:val="NormalWeb"/>
        <w:shd w:val="clear" w:color="auto" w:fill="FFFFFF"/>
        <w:spacing w:before="0" w:after="0" w:line="360" w:lineRule="atLeast"/>
        <w:rPr>
          <w:rFonts w:ascii="Open Sans" w:hAnsi="Open Sans" w:cs="Open Sans"/>
          <w:color w:val="212121"/>
          <w:spacing w:val="2"/>
          <w:sz w:val="21"/>
          <w:szCs w:val="21"/>
        </w:rPr>
      </w:pPr>
      <w:r>
        <w:rPr>
          <w:rFonts w:ascii="Open Sans" w:hAnsi="Open Sans" w:cs="Open Sans"/>
          <w:color w:val="212121"/>
          <w:spacing w:val="2"/>
          <w:sz w:val="21"/>
          <w:szCs w:val="21"/>
          <w:bdr w:val="none" w:sz="0" w:space="0" w:color="auto" w:frame="1"/>
        </w:rPr>
        <w:t xml:space="preserve">Centers for Disease Control and Prevention. (2024). Human </w:t>
      </w:r>
      <w:proofErr w:type="gramStart"/>
      <w:r>
        <w:rPr>
          <w:rFonts w:ascii="Open Sans" w:hAnsi="Open Sans" w:cs="Open Sans"/>
          <w:color w:val="212121"/>
          <w:spacing w:val="2"/>
          <w:sz w:val="21"/>
          <w:szCs w:val="21"/>
          <w:bdr w:val="none" w:sz="0" w:space="0" w:color="auto" w:frame="1"/>
        </w:rPr>
        <w:t>subjects</w:t>
      </w:r>
      <w:proofErr w:type="gramEnd"/>
      <w:r>
        <w:rPr>
          <w:rFonts w:ascii="Open Sans" w:hAnsi="Open Sans" w:cs="Open Sans"/>
          <w:color w:val="212121"/>
          <w:spacing w:val="2"/>
          <w:sz w:val="21"/>
          <w:szCs w:val="21"/>
          <w:bdr w:val="none" w:sz="0" w:space="0" w:color="auto" w:frame="1"/>
        </w:rPr>
        <w:t xml:space="preserve"> protection | Scientific integrity | CDC. </w:t>
      </w:r>
      <w:r>
        <w:rPr>
          <w:rStyle w:val="HTMLCode"/>
          <w:color w:val="212121"/>
          <w:spacing w:val="2"/>
          <w:bdr w:val="none" w:sz="0" w:space="0" w:color="auto" w:frame="1"/>
          <w:shd w:val="clear" w:color="auto" w:fill="CCCCCC"/>
        </w:rPr>
        <w:t>https://www.cdc.gov/od/science/integrity/human-subjects-protection/index.html</w:t>
      </w:r>
      <w:r>
        <w:rPr>
          <w:rFonts w:ascii="Open Sans" w:hAnsi="Open Sans" w:cs="Open Sans"/>
          <w:color w:val="212121"/>
          <w:spacing w:val="2"/>
          <w:sz w:val="21"/>
          <w:szCs w:val="21"/>
          <w:bdr w:val="none" w:sz="0" w:space="0" w:color="auto" w:frame="1"/>
        </w:rPr>
        <w:t> (cdc.gov in Bing)</w:t>
      </w:r>
    </w:p>
    <w:p w:rsidR="00DC513E" w:rsidRDefault="00DC513E" w:rsidP="00DC513E">
      <w:pPr>
        <w:pStyle w:val="NormalWeb"/>
        <w:shd w:val="clear" w:color="auto" w:fill="FFFFFF"/>
        <w:spacing w:before="0" w:after="0" w:line="360" w:lineRule="atLeast"/>
        <w:rPr>
          <w:rFonts w:ascii="Open Sans" w:hAnsi="Open Sans" w:cs="Open Sans"/>
          <w:color w:val="212121"/>
          <w:spacing w:val="2"/>
          <w:sz w:val="21"/>
          <w:szCs w:val="21"/>
        </w:rPr>
      </w:pPr>
      <w:proofErr w:type="spellStart"/>
      <w:r>
        <w:rPr>
          <w:rFonts w:ascii="Open Sans" w:hAnsi="Open Sans" w:cs="Open Sans"/>
          <w:color w:val="212121"/>
          <w:spacing w:val="2"/>
          <w:sz w:val="21"/>
          <w:szCs w:val="21"/>
          <w:bdr w:val="none" w:sz="0" w:space="0" w:color="auto" w:frame="1"/>
        </w:rPr>
        <w:t>Guirguis</w:t>
      </w:r>
      <w:proofErr w:type="spellEnd"/>
      <w:r>
        <w:rPr>
          <w:rFonts w:ascii="Open Sans" w:hAnsi="Open Sans" w:cs="Open Sans"/>
          <w:color w:val="212121"/>
          <w:spacing w:val="2"/>
          <w:sz w:val="21"/>
          <w:szCs w:val="21"/>
          <w:bdr w:val="none" w:sz="0" w:space="0" w:color="auto" w:frame="1"/>
        </w:rPr>
        <w:noBreakHyphen/>
        <w:t>Blake, J. M., Perdue, L. A., Coppola, E. L., &amp; Bean, S. I. (2024). Interventions to prevent falls in older adults: Updated evidence report and systematic review for the US Preventive Services Task Force. </w:t>
      </w:r>
      <w:r>
        <w:rPr>
          <w:rStyle w:val="Emphasis"/>
          <w:rFonts w:ascii="inherit" w:hAnsi="inherit" w:cs="Open Sans"/>
          <w:color w:val="212121"/>
          <w:spacing w:val="2"/>
          <w:sz w:val="21"/>
          <w:szCs w:val="21"/>
          <w:bdr w:val="none" w:sz="0" w:space="0" w:color="auto" w:frame="1"/>
        </w:rPr>
        <w:t>JAMA</w:t>
      </w:r>
      <w:r>
        <w:rPr>
          <w:rFonts w:ascii="Open Sans" w:hAnsi="Open Sans" w:cs="Open Sans"/>
          <w:color w:val="212121"/>
          <w:spacing w:val="2"/>
          <w:sz w:val="21"/>
          <w:szCs w:val="21"/>
          <w:bdr w:val="none" w:sz="0" w:space="0" w:color="auto" w:frame="1"/>
        </w:rPr>
        <w:t>, </w:t>
      </w:r>
      <w:r>
        <w:rPr>
          <w:rStyle w:val="Emphasis"/>
          <w:rFonts w:ascii="inherit" w:hAnsi="inherit" w:cs="Open Sans"/>
          <w:color w:val="212121"/>
          <w:spacing w:val="2"/>
          <w:sz w:val="21"/>
          <w:szCs w:val="21"/>
          <w:bdr w:val="none" w:sz="0" w:space="0" w:color="auto" w:frame="1"/>
        </w:rPr>
        <w:t>332</w:t>
      </w:r>
      <w:r>
        <w:rPr>
          <w:rFonts w:ascii="Open Sans" w:hAnsi="Open Sans" w:cs="Open Sans"/>
          <w:color w:val="212121"/>
          <w:spacing w:val="2"/>
          <w:sz w:val="21"/>
          <w:szCs w:val="21"/>
          <w:bdr w:val="none" w:sz="0" w:space="0" w:color="auto" w:frame="1"/>
        </w:rPr>
        <w:t>(1), 58–69. </w:t>
      </w:r>
      <w:r>
        <w:rPr>
          <w:rStyle w:val="HTMLCode"/>
          <w:color w:val="212121"/>
          <w:spacing w:val="2"/>
          <w:bdr w:val="none" w:sz="0" w:space="0" w:color="auto" w:frame="1"/>
          <w:shd w:val="clear" w:color="auto" w:fill="CCCCCC"/>
        </w:rPr>
        <w:t>https://doi.org/10.1001/jama.2024.4166</w:t>
      </w:r>
      <w:r>
        <w:rPr>
          <w:rFonts w:ascii="Open Sans" w:hAnsi="Open Sans" w:cs="Open Sans"/>
          <w:color w:val="212121"/>
          <w:spacing w:val="2"/>
          <w:sz w:val="21"/>
          <w:szCs w:val="21"/>
          <w:bdr w:val="none" w:sz="0" w:space="0" w:color="auto" w:frame="1"/>
        </w:rPr>
        <w:t> (doi.org in Bing)</w:t>
      </w:r>
    </w:p>
    <w:p w:rsidR="00DC513E" w:rsidRDefault="00DC513E"/>
    <w:sectPr w:rsidR="00DC5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3E"/>
    <w:rsid w:val="006451FF"/>
    <w:rsid w:val="00B72657"/>
    <w:rsid w:val="00DC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C40D1"/>
  <w15:chartTrackingRefBased/>
  <w15:docId w15:val="{15016420-011E-A042-BE79-8DDE56A8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13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513E"/>
    <w:rPr>
      <w:b/>
      <w:bCs/>
    </w:rPr>
  </w:style>
  <w:style w:type="character" w:styleId="Emphasis">
    <w:name w:val="Emphasis"/>
    <w:basedOn w:val="DefaultParagraphFont"/>
    <w:uiPriority w:val="20"/>
    <w:qFormat/>
    <w:rsid w:val="00DC513E"/>
    <w:rPr>
      <w:i/>
      <w:iCs/>
    </w:rPr>
  </w:style>
  <w:style w:type="character" w:styleId="Hyperlink">
    <w:name w:val="Hyperlink"/>
    <w:basedOn w:val="DefaultParagraphFont"/>
    <w:uiPriority w:val="99"/>
    <w:semiHidden/>
    <w:unhideWhenUsed/>
    <w:rsid w:val="00DC513E"/>
    <w:rPr>
      <w:color w:val="0000FF"/>
      <w:u w:val="single"/>
    </w:rPr>
  </w:style>
  <w:style w:type="character" w:styleId="HTMLCode">
    <w:name w:val="HTML Code"/>
    <w:basedOn w:val="DefaultParagraphFont"/>
    <w:uiPriority w:val="99"/>
    <w:semiHidden/>
    <w:unhideWhenUsed/>
    <w:rsid w:val="00DC51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845781">
      <w:bodyDiv w:val="1"/>
      <w:marLeft w:val="0"/>
      <w:marRight w:val="0"/>
      <w:marTop w:val="0"/>
      <w:marBottom w:val="0"/>
      <w:divBdr>
        <w:top w:val="none" w:sz="0" w:space="0" w:color="auto"/>
        <w:left w:val="none" w:sz="0" w:space="0" w:color="auto"/>
        <w:bottom w:val="none" w:sz="0" w:space="0" w:color="auto"/>
        <w:right w:val="none" w:sz="0" w:space="0" w:color="auto"/>
      </w:divBdr>
    </w:div>
    <w:div w:id="1390113592">
      <w:bodyDiv w:val="1"/>
      <w:marLeft w:val="0"/>
      <w:marRight w:val="0"/>
      <w:marTop w:val="0"/>
      <w:marBottom w:val="0"/>
      <w:divBdr>
        <w:top w:val="none" w:sz="0" w:space="0" w:color="auto"/>
        <w:left w:val="none" w:sz="0" w:space="0" w:color="auto"/>
        <w:bottom w:val="none" w:sz="0" w:space="0" w:color="auto"/>
        <w:right w:val="none" w:sz="0" w:space="0" w:color="auto"/>
      </w:divBdr>
    </w:div>
    <w:div w:id="14103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56/NEJMoa2209083" TargetMode="External"/><Relationship Id="rId4" Type="http://schemas.openxmlformats.org/officeDocument/2006/relationships/hyperlink" Target="https://www.hhs.gov/ohrp/education-and-outreach/online-education/human-research-protection-training/lesson-3-what-are-irb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2026-07-02T13:04:00Z</dcterms:created>
  <dcterms:modified xsi:type="dcterms:W3CDTF">2026-07-02T13:10:00Z</dcterms:modified>
</cp:coreProperties>
</file>